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4" w:rsidRDefault="00810F74" w:rsidP="00810F74">
      <w:pPr>
        <w:jc w:val="center"/>
        <w:rPr>
          <w:rFonts w:ascii="方正小标宋简体" w:eastAsia="方正小标宋简体"/>
          <w:sz w:val="44"/>
          <w:szCs w:val="44"/>
        </w:rPr>
      </w:pPr>
      <w:r w:rsidRPr="00810F74">
        <w:rPr>
          <w:rFonts w:ascii="方正小标宋简体" w:eastAsia="方正小标宋简体" w:hint="eastAsia"/>
          <w:sz w:val="44"/>
          <w:szCs w:val="44"/>
        </w:rPr>
        <w:t>拟入选广东省教育研究院义务教育</w:t>
      </w:r>
    </w:p>
    <w:p w:rsidR="00626B57" w:rsidRPr="00810F74" w:rsidRDefault="00810F74" w:rsidP="00810F74">
      <w:pPr>
        <w:jc w:val="center"/>
        <w:rPr>
          <w:rFonts w:ascii="方正小标宋简体" w:eastAsia="方正小标宋简体"/>
          <w:sz w:val="44"/>
          <w:szCs w:val="44"/>
        </w:rPr>
      </w:pPr>
      <w:r w:rsidRPr="00810F74">
        <w:rPr>
          <w:rFonts w:ascii="方正小标宋简体" w:eastAsia="方正小标宋简体" w:hint="eastAsia"/>
          <w:sz w:val="44"/>
          <w:szCs w:val="44"/>
        </w:rPr>
        <w:t>道德与法治教学专项研究课题名单</w:t>
      </w:r>
    </w:p>
    <w:tbl>
      <w:tblPr>
        <w:tblStyle w:val="a4"/>
        <w:tblW w:w="8303" w:type="dxa"/>
        <w:jc w:val="center"/>
        <w:tblLook w:val="04A0" w:firstRow="1" w:lastRow="0" w:firstColumn="1" w:lastColumn="0" w:noHBand="0" w:noVBand="1"/>
      </w:tblPr>
      <w:tblGrid>
        <w:gridCol w:w="456"/>
        <w:gridCol w:w="3969"/>
        <w:gridCol w:w="851"/>
        <w:gridCol w:w="3027"/>
      </w:tblGrid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74A17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74A17">
              <w:rPr>
                <w:rFonts w:asciiTheme="minorEastAsia" w:hAnsiTheme="minorEastAsia" w:hint="eastAsia"/>
                <w:b/>
                <w:bCs/>
                <w:szCs w:val="21"/>
              </w:rPr>
              <w:t>课题名称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74A17">
              <w:rPr>
                <w:rFonts w:asciiTheme="minorEastAsia" w:hAnsiTheme="minorEastAsia" w:hint="eastAsia"/>
                <w:b/>
                <w:bCs/>
                <w:szCs w:val="21"/>
              </w:rPr>
              <w:t>主持人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74A17">
              <w:rPr>
                <w:rFonts w:asciiTheme="minorEastAsia" w:hAnsiTheme="minorEastAsia" w:hint="eastAsia"/>
                <w:b/>
                <w:bCs/>
                <w:szCs w:val="21"/>
              </w:rPr>
              <w:t>单位（学校）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道德与法治教师专业发展及教学资源建设研究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赖李真</w:t>
            </w:r>
            <w:proofErr w:type="gramEnd"/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佛山市禅城区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>教育发展中心教研室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小学道德与法治课堂教学“五结合”的内容、策略与范式研究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何洁珍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佛山市三水区实验小学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小学低年段道德与法治统编教材</w:t>
            </w: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微课资源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>深度开发与创新应用的研究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梁振举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广州市番禺区洛浦东乡小学</w:t>
            </w:r>
          </w:p>
        </w:tc>
      </w:tr>
      <w:tr w:rsidR="005C4DC7" w:rsidRPr="00874A17" w:rsidTr="005C4DC7">
        <w:trPr>
          <w:trHeight w:val="327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小学生宪法教育实践研究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黄桂娟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广州市白云区广园小学</w:t>
            </w:r>
          </w:p>
        </w:tc>
        <w:bookmarkStart w:id="0" w:name="_GoBack"/>
        <w:bookmarkEnd w:id="0"/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基于课程标准的小学低年级法治教育的课堂教学范式研究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郑爱华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广州市海珠区教育发展中心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在小学道德与法治课程教学中融入中华优秀传统文化的策略研究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袁红梅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河源市源城区雅居乐小学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以东</w:t>
            </w: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江文化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>丰富小学道德与法治课程资源的实践研究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张月铭</w:t>
            </w:r>
            <w:proofErr w:type="gramEnd"/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惠州市水</w:t>
            </w: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口中心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>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小学道德与法治课程实施与社会主义核心价值观培育研究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许燕芬</w:t>
            </w:r>
            <w:proofErr w:type="gramEnd"/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清远市师范学校附属小学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小学三年级《道德与法治》课堂教学生活化的研究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 xml:space="preserve">李招汉 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陆河县河口镇河口小学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故事法在教学中培育和</w:t>
            </w: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践行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>社会主义核心价值观研究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卢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 xml:space="preserve">  升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韶关市教育科学研究院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互联网背景下道德与法治教与</w:t>
            </w: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学模式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>变革研究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杨  柳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深圳市罗湖区教育科学研究院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 xml:space="preserve">道德与法治课程实施与中华传统文化之“四德”教育研究 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徐文玉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深圳市南山区南山小学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《小学道德与法治“趣、探、评”课堂教学模式的实践研究》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林发众</w:t>
            </w:r>
            <w:proofErr w:type="gramEnd"/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韶关市始兴县丹凤小学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小学道德与法治渗透中华优秀传统文化教育的实践研究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邓意环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云浮市恒大学校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 xml:space="preserve">小学道德与法治课程实施与社会主义核心价值观培育的策略探究 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陈艳华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湛江市第二十五小学</w:t>
            </w:r>
          </w:p>
        </w:tc>
      </w:tr>
      <w:tr w:rsidR="005C4DC7" w:rsidRPr="00874A17" w:rsidTr="005C4DC7">
        <w:trPr>
          <w:trHeight w:val="313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小学《道德与法治》学习评价方法探究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冯少玲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湛江市第十七小学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以“三礼教育”实践活动为抓手，提高小学低年级道德与法治课程育人实效性的策略研究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梁宝珠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肇庆市实验小学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道德与法治课程实施与中华优秀传统文化教育研究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陈亦锋</w:t>
            </w:r>
            <w:proofErr w:type="gramEnd"/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阳春市</w:t>
            </w: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绵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>登中英文小学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19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小学道德与法治教材的</w:t>
            </w: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绘本资源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>的建设与应用研究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874A17">
              <w:rPr>
                <w:rFonts w:asciiTheme="minorEastAsia" w:hAnsiTheme="minorEastAsia" w:hint="eastAsia"/>
                <w:szCs w:val="21"/>
              </w:rPr>
              <w:t>陶素华</w:t>
            </w:r>
            <w:proofErr w:type="gramEnd"/>
            <w:r w:rsidRPr="00874A17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东莞市莞城中心小学</w:t>
            </w:r>
          </w:p>
        </w:tc>
      </w:tr>
      <w:tr w:rsidR="005C4DC7" w:rsidRPr="00874A17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3969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“启真教育”深化小学道德与法治教学改革的实践研究</w:t>
            </w:r>
          </w:p>
        </w:tc>
        <w:tc>
          <w:tcPr>
            <w:tcW w:w="851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 xml:space="preserve">曾文燕  </w:t>
            </w:r>
          </w:p>
        </w:tc>
        <w:tc>
          <w:tcPr>
            <w:tcW w:w="3027" w:type="dxa"/>
            <w:hideMark/>
          </w:tcPr>
          <w:p w:rsidR="005C4DC7" w:rsidRPr="00874A17" w:rsidRDefault="005C4DC7" w:rsidP="00B14369">
            <w:pPr>
              <w:rPr>
                <w:rFonts w:asciiTheme="minorEastAsia" w:hAnsiTheme="minorEastAsia"/>
                <w:szCs w:val="21"/>
              </w:rPr>
            </w:pPr>
            <w:r w:rsidRPr="00874A17">
              <w:rPr>
                <w:rFonts w:asciiTheme="minorEastAsia" w:hAnsiTheme="minorEastAsia" w:hint="eastAsia"/>
                <w:szCs w:val="21"/>
              </w:rPr>
              <w:t>东莞市长安镇中心小学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提高《道德与法治》课堂教学实效</w:t>
            </w: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性培养</w:t>
            </w:r>
            <w:proofErr w:type="gramEnd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初中学生学科核心素养的研究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辜</w:t>
            </w:r>
            <w:proofErr w:type="gramEnd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潮州市金山实验学校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基于学科核心素养的初中道德与法治学业评价研究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萍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广州番禺区教育局教学研究室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初中《道德与法治》教学中渗透中华优秀传统文化教育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雄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广州市铁</w:t>
            </w: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中学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道德与法治课程实施与学生社会责任感、 法治意识的培养和研究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叶利芳</w:t>
            </w:r>
            <w:proofErr w:type="gramEnd"/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河源市源城区新江</w:t>
            </w: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路学校</w:t>
            </w:r>
            <w:proofErr w:type="gramEnd"/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初中道德与法治课程中学生社会实践能力培养的研究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惠州市教育科学研究院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活动型道德与法治课校本课程开发与应用的研究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曾健红</w:t>
            </w:r>
            <w:proofErr w:type="gramEnd"/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江门市</w:t>
            </w: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新会葵城中学</w:t>
            </w:r>
            <w:proofErr w:type="gramEnd"/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初中道德与法治课培育社会主义核心价值观教学探究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烁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揭阳市揭东区第一初级中学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在初中道德与法治课程中提升学生时政阅读能力的研究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邓晓燕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茂名市龙岭学校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初中道德与法治教学中渗透中华传统文化的实践探究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翟敏珊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清远市清城区清城中学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利用海丰革命文化打造红色校园形成德育优势的研究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施小青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海丰县海城镇第三中学</w:t>
            </w:r>
          </w:p>
        </w:tc>
      </w:tr>
      <w:tr w:rsidR="005C4DC7" w:rsidRPr="005A6FD9" w:rsidTr="005C4DC7">
        <w:trPr>
          <w:trHeight w:val="324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本土革命文化融入初中</w:t>
            </w: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思政课实践</w:t>
            </w:r>
            <w:proofErr w:type="gramEnd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研究 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彭秋容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陆河县东坑中学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深度学习下道德与法治</w:t>
            </w: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课项目</w:t>
            </w:r>
            <w:proofErr w:type="gramEnd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式学习的实践研究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李红秀</w:t>
            </w:r>
            <w:proofErr w:type="gramEnd"/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韶关市一中实验学校</w:t>
            </w:r>
          </w:p>
        </w:tc>
      </w:tr>
      <w:tr w:rsidR="005C4DC7" w:rsidRPr="005A6FD9" w:rsidTr="005C4DC7">
        <w:trPr>
          <w:trHeight w:val="32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初中道德与法治议题式教学的实践研究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万雪梅</w:t>
            </w:r>
            <w:proofErr w:type="gramEnd"/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深圳市罗湖区教育科学研究院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道德与法治课程实施与中学生公共道德培养研究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郑永平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深圳市龙岗区教学研究室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价值体悟理论下的《社会主义核心价值观教育读本》研发和应用研究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唐雪梅</w:t>
            </w:r>
            <w:proofErr w:type="gramEnd"/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深圳市教育科学研究院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模拟法庭培育初中学生法治思维的策略研究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翟</w:t>
            </w:r>
            <w:proofErr w:type="gramEnd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娱</w:t>
            </w: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石芽岭学校</w:t>
            </w:r>
            <w:proofErr w:type="gramEnd"/>
          </w:p>
        </w:tc>
      </w:tr>
      <w:tr w:rsidR="005C4DC7" w:rsidRPr="005A6FD9" w:rsidTr="005C4DC7">
        <w:trPr>
          <w:trHeight w:val="421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深度学习下道德与法治课堂提问的研究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林祥辉</w:t>
            </w:r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韶关市</w:t>
            </w: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始兴县九</w:t>
            </w: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龄中学</w:t>
            </w:r>
            <w:proofErr w:type="gramEnd"/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基于核心素养的初中道德与法治课堂教学模式研究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伍燕坤</w:t>
            </w:r>
            <w:proofErr w:type="gramEnd"/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云浮市教育局教研室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969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道德与法治课对初中生政治认同素养的培育研究</w:t>
            </w:r>
          </w:p>
        </w:tc>
        <w:tc>
          <w:tcPr>
            <w:tcW w:w="851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杨锦志</w:t>
            </w:r>
            <w:proofErr w:type="gramEnd"/>
          </w:p>
        </w:tc>
        <w:tc>
          <w:tcPr>
            <w:tcW w:w="3027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湛江市第二中学 </w:t>
            </w:r>
          </w:p>
        </w:tc>
      </w:tr>
      <w:tr w:rsidR="005C4DC7" w:rsidRPr="005A6FD9" w:rsidTr="005C4DC7">
        <w:trPr>
          <w:trHeight w:val="559"/>
          <w:jc w:val="center"/>
        </w:trPr>
        <w:tc>
          <w:tcPr>
            <w:tcW w:w="456" w:type="dxa"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969" w:type="dxa"/>
            <w:noWrap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道德与法治学科指导学生深度学习的实践研究</w:t>
            </w:r>
          </w:p>
        </w:tc>
        <w:tc>
          <w:tcPr>
            <w:tcW w:w="851" w:type="dxa"/>
            <w:noWrap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王立国</w:t>
            </w:r>
          </w:p>
        </w:tc>
        <w:tc>
          <w:tcPr>
            <w:tcW w:w="3027" w:type="dxa"/>
            <w:noWrap/>
            <w:hideMark/>
          </w:tcPr>
          <w:p w:rsidR="005C4DC7" w:rsidRPr="005A6FD9" w:rsidRDefault="005C4DC7" w:rsidP="00B143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6FD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珠海市第十中学</w:t>
            </w:r>
          </w:p>
        </w:tc>
      </w:tr>
    </w:tbl>
    <w:p w:rsidR="00F95B43" w:rsidRPr="00CE469D" w:rsidRDefault="00F95B43" w:rsidP="00810F74">
      <w:pPr>
        <w:rPr>
          <w:rFonts w:ascii="仿宋_GB2312" w:eastAsia="仿宋_GB2312"/>
          <w:sz w:val="32"/>
          <w:szCs w:val="32"/>
        </w:rPr>
      </w:pPr>
    </w:p>
    <w:sectPr w:rsidR="00F95B43" w:rsidRPr="00CE469D" w:rsidSect="00810F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5B"/>
    <w:rsid w:val="00167D65"/>
    <w:rsid w:val="0022094F"/>
    <w:rsid w:val="005C4DC7"/>
    <w:rsid w:val="00626B57"/>
    <w:rsid w:val="00810F74"/>
    <w:rsid w:val="00C51D98"/>
    <w:rsid w:val="00CE469D"/>
    <w:rsid w:val="00D11E47"/>
    <w:rsid w:val="00DA2215"/>
    <w:rsid w:val="00E2105B"/>
    <w:rsid w:val="00EA34E2"/>
    <w:rsid w:val="00EA66F6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B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6B57"/>
    <w:rPr>
      <w:sz w:val="18"/>
      <w:szCs w:val="18"/>
    </w:rPr>
  </w:style>
  <w:style w:type="table" w:styleId="a4">
    <w:name w:val="Table Grid"/>
    <w:basedOn w:val="a1"/>
    <w:uiPriority w:val="59"/>
    <w:rsid w:val="00CE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B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6B57"/>
    <w:rPr>
      <w:sz w:val="18"/>
      <w:szCs w:val="18"/>
    </w:rPr>
  </w:style>
  <w:style w:type="table" w:styleId="a4">
    <w:name w:val="Table Grid"/>
    <w:basedOn w:val="a1"/>
    <w:uiPriority w:val="59"/>
    <w:rsid w:val="00CE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>CI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钟守权</dc:creator>
  <cp:lastModifiedBy>施美彬</cp:lastModifiedBy>
  <cp:revision>6</cp:revision>
  <cp:lastPrinted>2019-07-18T08:39:00Z</cp:lastPrinted>
  <dcterms:created xsi:type="dcterms:W3CDTF">2019-07-29T06:14:00Z</dcterms:created>
  <dcterms:modified xsi:type="dcterms:W3CDTF">2019-07-29T08:14:00Z</dcterms:modified>
</cp:coreProperties>
</file>