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63" w:rsidRDefault="00E23763" w:rsidP="00E23763">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E23763" w:rsidRDefault="00E23763" w:rsidP="00E23763">
      <w:pPr>
        <w:spacing w:line="700" w:lineRule="exact"/>
        <w:rPr>
          <w:rFonts w:ascii="仿宋_GB2312" w:eastAsia="仿宋_GB2312" w:hAnsi="宋体" w:cs="宋体" w:hint="eastAsia"/>
          <w:b/>
          <w:color w:val="000000"/>
          <w:kern w:val="0"/>
          <w:sz w:val="32"/>
          <w:szCs w:val="32"/>
          <w:lang w:bidi="ar"/>
        </w:rPr>
      </w:pPr>
    </w:p>
    <w:p w:rsidR="00E23763" w:rsidRDefault="00E23763" w:rsidP="00E23763">
      <w:pPr>
        <w:spacing w:line="700" w:lineRule="exact"/>
        <w:ind w:leftChars="342" w:left="718" w:firstLineChars="200" w:firstLine="720"/>
        <w:rPr>
          <w:rFonts w:ascii="方正小标宋简体" w:eastAsia="方正小标宋简体" w:hAnsi="仿宋" w:cs="仿宋" w:hint="eastAsia"/>
          <w:sz w:val="36"/>
          <w:szCs w:val="36"/>
        </w:rPr>
      </w:pPr>
      <w:r>
        <w:rPr>
          <w:rFonts w:ascii="方正小标宋简体" w:eastAsia="方正小标宋简体" w:hAnsi="仿宋" w:cs="仿宋" w:hint="eastAsia"/>
          <w:sz w:val="36"/>
          <w:szCs w:val="36"/>
        </w:rPr>
        <w:t>广东省高等教育学会</w:t>
      </w:r>
      <w:r>
        <w:rPr>
          <w:rFonts w:ascii="仿宋_GB2312" w:eastAsia="仿宋_GB2312" w:hAnsi="宋体" w:cs="宋体" w:hint="eastAsia"/>
          <w:bCs/>
          <w:color w:val="000000"/>
          <w:kern w:val="0"/>
          <w:sz w:val="32"/>
          <w:szCs w:val="32"/>
          <w:lang w:bidi="ar"/>
        </w:rPr>
        <w:t>“</w:t>
      </w:r>
      <w:r>
        <w:rPr>
          <w:rFonts w:ascii="方正小标宋简体" w:eastAsia="方正小标宋简体" w:hAnsi="仿宋" w:cs="仿宋" w:hint="eastAsia"/>
          <w:sz w:val="36"/>
          <w:szCs w:val="36"/>
        </w:rPr>
        <w:t>十三五</w:t>
      </w:r>
      <w:r>
        <w:rPr>
          <w:rFonts w:ascii="仿宋_GB2312" w:eastAsia="仿宋_GB2312" w:hAnsi="宋体" w:cs="宋体" w:hint="eastAsia"/>
          <w:bCs/>
          <w:color w:val="000000"/>
          <w:kern w:val="0"/>
          <w:sz w:val="32"/>
          <w:szCs w:val="32"/>
          <w:lang w:bidi="ar"/>
        </w:rPr>
        <w:t>”</w:t>
      </w:r>
      <w:r>
        <w:rPr>
          <w:rFonts w:ascii="方正小标宋简体" w:eastAsia="方正小标宋简体" w:hAnsi="仿宋" w:cs="仿宋" w:hint="eastAsia"/>
          <w:sz w:val="36"/>
          <w:szCs w:val="36"/>
        </w:rPr>
        <w:t>规划2019年度高校青年教师高等教育学</w:t>
      </w:r>
    </w:p>
    <w:p w:rsidR="00E23763" w:rsidRDefault="00E23763" w:rsidP="00E23763">
      <w:pPr>
        <w:spacing w:line="700" w:lineRule="exact"/>
        <w:ind w:leftChars="342" w:left="718" w:firstLineChars="1200" w:firstLine="4320"/>
        <w:rPr>
          <w:rFonts w:ascii="方正小标宋简体" w:eastAsia="方正小标宋简体" w:hAnsi="仿宋" w:cs="仿宋" w:hint="eastAsia"/>
          <w:sz w:val="36"/>
          <w:szCs w:val="36"/>
        </w:rPr>
      </w:pPr>
      <w:r>
        <w:rPr>
          <w:rFonts w:ascii="方正小标宋简体" w:eastAsia="方正小标宋简体" w:hAnsi="仿宋" w:cs="仿宋" w:hint="eastAsia"/>
          <w:sz w:val="36"/>
          <w:szCs w:val="36"/>
        </w:rPr>
        <w:t>研究课题拟立项名单</w:t>
      </w:r>
    </w:p>
    <w:p w:rsidR="00E23763" w:rsidRDefault="00E23763" w:rsidP="00E23763">
      <w:pPr>
        <w:spacing w:line="700" w:lineRule="exact"/>
        <w:ind w:left="720" w:hangingChars="200" w:hanging="720"/>
        <w:rPr>
          <w:rFonts w:ascii="方正小标宋简体" w:eastAsia="方正小标宋简体" w:hAnsi="仿宋" w:cs="仿宋" w:hint="eastAsia"/>
          <w:sz w:val="36"/>
          <w:szCs w:val="36"/>
        </w:rPr>
      </w:pPr>
      <w:r>
        <w:rPr>
          <w:rFonts w:ascii="方正小标宋简体" w:eastAsia="方正小标宋简体" w:hAnsi="仿宋" w:cs="仿宋" w:hint="eastAsia"/>
          <w:sz w:val="36"/>
          <w:szCs w:val="36"/>
        </w:rPr>
        <w:t xml:space="preserve">                   </w:t>
      </w:r>
    </w:p>
    <w:p w:rsidR="00E23763" w:rsidRDefault="00E23763" w:rsidP="00E23763">
      <w:pPr>
        <w:spacing w:line="560" w:lineRule="exact"/>
        <w:ind w:leftChars="304" w:left="638" w:firstLineChars="900" w:firstLine="2880"/>
        <w:rPr>
          <w:rFonts w:ascii="方正小标宋简体" w:eastAsia="方正小标宋简体" w:hAnsi="仿宋" w:cs="仿宋" w:hint="eastAsia"/>
          <w:b/>
          <w:bCs/>
          <w:sz w:val="32"/>
          <w:szCs w:val="32"/>
        </w:rPr>
      </w:pPr>
      <w:r>
        <w:rPr>
          <w:rFonts w:ascii="方正小标宋简体" w:eastAsia="方正小标宋简体" w:hAnsi="仿宋" w:cs="仿宋" w:hint="eastAsia"/>
          <w:sz w:val="32"/>
          <w:szCs w:val="32"/>
        </w:rPr>
        <w:t>研究生教育、本科教育组（排名按评审分数从高到低排列）</w:t>
      </w:r>
    </w:p>
    <w:tbl>
      <w:tblPr>
        <w:tblStyle w:val="a3"/>
        <w:tblpPr w:leftFromText="180" w:rightFromText="180" w:vertAnchor="text" w:horzAnchor="page" w:tblpX="1438" w:tblpY="680"/>
        <w:tblOverlap w:val="never"/>
        <w:tblW w:w="0" w:type="auto"/>
        <w:tblInd w:w="0" w:type="dxa"/>
        <w:tblLayout w:type="fixed"/>
        <w:tblLook w:val="04A0" w:firstRow="1" w:lastRow="0" w:firstColumn="1" w:lastColumn="0" w:noHBand="0" w:noVBand="1"/>
      </w:tblPr>
      <w:tblGrid>
        <w:gridCol w:w="840"/>
        <w:gridCol w:w="998"/>
        <w:gridCol w:w="2831"/>
        <w:gridCol w:w="8024"/>
        <w:gridCol w:w="1287"/>
      </w:tblGrid>
      <w:tr w:rsidR="00E23763" w:rsidTr="00E23763">
        <w:trPr>
          <w:trHeight w:val="611"/>
        </w:trPr>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序号</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主持人</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300" w:firstLine="720"/>
              <w:rPr>
                <w:rFonts w:ascii="仿宋_GB2312" w:eastAsia="仿宋_GB2312" w:hAnsi="宋体" w:cs="宋体"/>
                <w:color w:val="000000"/>
                <w:sz w:val="24"/>
              </w:rPr>
            </w:pPr>
            <w:r>
              <w:rPr>
                <w:rFonts w:ascii="仿宋_GB2312" w:eastAsia="仿宋_GB2312" w:hAnsi="宋体" w:cs="宋体" w:hint="eastAsia"/>
                <w:color w:val="000000"/>
                <w:sz w:val="24"/>
              </w:rPr>
              <w:t>所在单位</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300" w:firstLine="3120"/>
              <w:rPr>
                <w:rFonts w:ascii="仿宋_GB2312" w:eastAsia="仿宋_GB2312" w:hAnsi="宋体" w:cs="宋体"/>
                <w:color w:val="000000"/>
                <w:sz w:val="24"/>
              </w:rPr>
            </w:pPr>
            <w:r>
              <w:rPr>
                <w:rFonts w:ascii="仿宋_GB2312" w:eastAsia="仿宋_GB2312" w:hAnsi="宋体" w:cs="宋体" w:hint="eastAsia"/>
                <w:color w:val="000000"/>
                <w:sz w:val="24"/>
              </w:rPr>
              <w:t>课题名称</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立项类型</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卓泽林</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华南师范大学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高等教育支撑粤港澳大湾区建设的模式与机制研究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70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700" w:lineRule="exact"/>
              <w:rPr>
                <w:rFonts w:ascii="仿宋_GB2312" w:eastAsia="仿宋_GB2312" w:hAnsi="宋体" w:cs="宋体"/>
                <w:color w:val="000000"/>
                <w:sz w:val="24"/>
              </w:rPr>
            </w:pPr>
            <w:r>
              <w:rPr>
                <w:rFonts w:ascii="仿宋_GB2312" w:eastAsia="仿宋_GB2312" w:hAnsi="宋体" w:cs="宋体" w:hint="eastAsia"/>
                <w:color w:val="000000"/>
                <w:sz w:val="24"/>
              </w:rPr>
              <w:t>赵海鹏</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7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700" w:lineRule="exact"/>
              <w:rPr>
                <w:rFonts w:ascii="仿宋_GB2312" w:eastAsia="仿宋_GB2312" w:hAnsi="宋体" w:cs="宋体"/>
                <w:color w:val="000000"/>
                <w:sz w:val="24"/>
              </w:rPr>
            </w:pPr>
            <w:r>
              <w:rPr>
                <w:rFonts w:ascii="仿宋_GB2312" w:eastAsia="仿宋_GB2312" w:hAnsi="宋体" w:cs="宋体" w:hint="eastAsia"/>
                <w:color w:val="000000"/>
                <w:sz w:val="24"/>
              </w:rPr>
              <w:t>智慧教育背景下混合式教学教师胜任力现状、影响因素及提升策略</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70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rPr>
          <w:trHeight w:val="90"/>
        </w:trPr>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邓嘉明</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嘉应学院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基于人工智能辅助的高校教学模式改革</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王劲博</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中山大学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新时代军民融合人才军地联合培养体系建设研究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孔祥渊</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深圳大学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新媒体与大学生思想政治教育融合的方法论研究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伍文海</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岭南师范学院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“金点子-竞赛-实训-创业”进阶式高校创新创业人才培养模式研究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庄光杰</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广东医科大学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健康中国视域下医学</w:t>
            </w:r>
            <w:proofErr w:type="gramStart"/>
            <w:r>
              <w:rPr>
                <w:rFonts w:ascii="仿宋_GB2312" w:eastAsia="仿宋_GB2312" w:hAnsi="宋体" w:cs="宋体" w:hint="eastAsia"/>
                <w:color w:val="000000"/>
                <w:sz w:val="24"/>
              </w:rPr>
              <w:t>生思想</w:t>
            </w:r>
            <w:proofErr w:type="gramEnd"/>
            <w:r>
              <w:rPr>
                <w:rFonts w:ascii="仿宋_GB2312" w:eastAsia="仿宋_GB2312" w:hAnsi="宋体" w:cs="宋体" w:hint="eastAsia"/>
                <w:color w:val="000000"/>
                <w:sz w:val="24"/>
              </w:rPr>
              <w:t>政治教育工作创新研究——以全国首家义工“幸福银行”大健康服务平台为依托</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耿旭</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深圳大学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广东省高校研究生教育质量保障措施研究——基于“主体-环境-制度”三元互动模型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史进程</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暨南大学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科研育人驱动的本科创新人才培养机制研究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陈小梅</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自然地理专业课</w:t>
            </w:r>
            <w:proofErr w:type="gramStart"/>
            <w:r>
              <w:rPr>
                <w:rFonts w:ascii="仿宋_GB2312" w:eastAsia="仿宋_GB2312" w:hAnsi="宋体" w:cs="宋体" w:hint="eastAsia"/>
                <w:color w:val="000000"/>
                <w:sz w:val="24"/>
              </w:rPr>
              <w:t>融入思政元素</w:t>
            </w:r>
            <w:proofErr w:type="gramEnd"/>
            <w:r>
              <w:rPr>
                <w:rFonts w:ascii="仿宋_GB2312" w:eastAsia="仿宋_GB2312" w:hAnsi="宋体" w:cs="宋体" w:hint="eastAsia"/>
                <w:color w:val="000000"/>
                <w:sz w:val="24"/>
              </w:rPr>
              <w:t>的三层次教学模式构建研究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王萍</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广东金融学院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“一带一路”背景下广东省法学高等教育国际化路径探析</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毕会东</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“双一流”背景下广东民办本科高校建设一流学科专业研究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戴明杰</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吉林大学珠海学院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粤港澳大湾</w:t>
            </w:r>
            <w:proofErr w:type="gramStart"/>
            <w:r>
              <w:rPr>
                <w:rFonts w:ascii="仿宋_GB2312" w:eastAsia="仿宋_GB2312" w:hAnsi="宋体" w:cs="宋体" w:hint="eastAsia"/>
                <w:color w:val="000000"/>
                <w:sz w:val="24"/>
              </w:rPr>
              <w:t>区背景</w:t>
            </w:r>
            <w:proofErr w:type="gramEnd"/>
            <w:r>
              <w:rPr>
                <w:rFonts w:ascii="仿宋_GB2312" w:eastAsia="仿宋_GB2312" w:hAnsi="宋体" w:cs="宋体" w:hint="eastAsia"/>
                <w:color w:val="000000"/>
                <w:sz w:val="24"/>
              </w:rPr>
              <w:t>下的高等教育合作比较研究——以深港合作和</w:t>
            </w:r>
            <w:proofErr w:type="gramStart"/>
            <w:r>
              <w:rPr>
                <w:rFonts w:ascii="仿宋_GB2312" w:eastAsia="仿宋_GB2312" w:hAnsi="宋体" w:cs="宋体" w:hint="eastAsia"/>
                <w:color w:val="000000"/>
                <w:sz w:val="24"/>
              </w:rPr>
              <w:t>珠澳</w:t>
            </w:r>
            <w:proofErr w:type="gramEnd"/>
            <w:r>
              <w:rPr>
                <w:rFonts w:ascii="仿宋_GB2312" w:eastAsia="仿宋_GB2312" w:hAnsi="宋体" w:cs="宋体" w:hint="eastAsia"/>
                <w:color w:val="000000"/>
                <w:sz w:val="24"/>
              </w:rPr>
              <w:t>合作对比研究为例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李剑英</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混合现实技术（MR）在专业课程教学中的应用研究——以新能源汽车技术为例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刘利</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北京师范大学珠海分校</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核心素养视角下高校公共体育课渗透角色认同教育的教学实践研究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16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戴玉</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知识和能力共建，学前教育专业化师资的培养——基于专业认证的背景</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林瑾</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广东东软学院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基于TOPCARES-CDIO的电子信息工程专业教学改革</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周仲伟</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广东石油化工学院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“双创”背景下建筑类专业设计工作室创业型人才培养路径研究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19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陈环</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基于新工科背景的应用型本科跨境电子商务人才培养模式研究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刘莹</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广东东软学院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粤港澳大湾区建设背景下广东省民办本科高校教师激励机制研究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周玲燕</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广东石油化工学院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基于OBE教育理念的工科专业大英“金课”课程构建与实践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黄易炜</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基于“广深科技走廊”</w:t>
            </w:r>
            <w:proofErr w:type="gramStart"/>
            <w:r>
              <w:rPr>
                <w:rFonts w:ascii="仿宋_GB2312" w:eastAsia="仿宋_GB2312" w:hAnsi="宋体" w:cs="宋体" w:hint="eastAsia"/>
                <w:color w:val="000000"/>
                <w:sz w:val="24"/>
              </w:rPr>
              <w:t>背景下粤港澳</w:t>
            </w:r>
            <w:proofErr w:type="gramEnd"/>
            <w:r>
              <w:rPr>
                <w:rFonts w:ascii="仿宋_GB2312" w:eastAsia="仿宋_GB2312" w:hAnsi="宋体" w:cs="宋体" w:hint="eastAsia"/>
                <w:color w:val="000000"/>
                <w:sz w:val="24"/>
              </w:rPr>
              <w:t>大湾区高等教育合作研究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重点</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刘莹</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中山大学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跨学科TBL教学在《传染病学》临床见习教学的应用</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宋明伟</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华南农业大学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“立德树人-课程思政-体育学科核心素养”视域下普通高校篮球课教学创新研究——以华南农业大学为例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唐颖</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美育</w:t>
            </w:r>
            <w:proofErr w:type="gramStart"/>
            <w:r>
              <w:rPr>
                <w:rFonts w:ascii="仿宋_GB2312" w:eastAsia="仿宋_GB2312" w:hAnsi="宋体" w:cs="宋体" w:hint="eastAsia"/>
                <w:color w:val="000000"/>
                <w:sz w:val="24"/>
              </w:rPr>
              <w:t>与思政的</w:t>
            </w:r>
            <w:proofErr w:type="gramEnd"/>
            <w:r>
              <w:rPr>
                <w:rFonts w:ascii="仿宋_GB2312" w:eastAsia="仿宋_GB2312" w:hAnsi="宋体" w:cs="宋体" w:hint="eastAsia"/>
                <w:color w:val="000000"/>
                <w:sz w:val="24"/>
              </w:rPr>
              <w:t>交融——综合类高校音乐通识课程的</w:t>
            </w:r>
            <w:proofErr w:type="gramStart"/>
            <w:r>
              <w:rPr>
                <w:rFonts w:ascii="仿宋_GB2312" w:eastAsia="仿宋_GB2312" w:hAnsi="宋体" w:cs="宋体" w:hint="eastAsia"/>
                <w:color w:val="000000"/>
                <w:sz w:val="24"/>
              </w:rPr>
              <w:t>思政教育</w:t>
            </w:r>
            <w:proofErr w:type="gramEnd"/>
            <w:r>
              <w:rPr>
                <w:rFonts w:ascii="仿宋_GB2312" w:eastAsia="仿宋_GB2312" w:hAnsi="宋体" w:cs="宋体" w:hint="eastAsia"/>
                <w:color w:val="000000"/>
                <w:sz w:val="24"/>
              </w:rPr>
              <w:t>路径研究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于素敏</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深圳大学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大数据视角下基于学习分析的高等教育教学改革发展研究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危晖</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华南农业大学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研究型教学模式在生态学专业课程教学中的应用</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28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王国杰</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中山大学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人工智能在肺结节影像诊断教学中的应用研究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29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陈泽涛</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中山大学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以创新人才培养模式为导向的口腔基础研究课程建设与实践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崔涛涛</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广东外语外贸大学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珠三角西语小语种翻译专业硕士培养的国际化研究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吴晓伟</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暨南大学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本科教研室促进高校青年教师专业化发展——以广东省为例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吴光</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华南师范大学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广东省应用型本科院校特色发展研究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范成</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深圳大学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粤港澳大湾区信息化工程管理人才培养模式创新与实践研究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向家艮</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广州中医药大学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“首要教学原理”视角下《儿科护理学》混合式教学设计的优化与实践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马雁飞</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广东金融学院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混合式教学模式在二外俄语读写能力培养中的运用策略研究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黄秋石</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嘉应学院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新时代大学生就业创业指导教育创新研究——基于苏区精神</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田合伟</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岭南师范学院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创新创业教育背景下《旅游文创产品设计》课程教学实践研究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rPr>
          <w:trHeight w:val="562"/>
        </w:trPr>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陈晨</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深圳大学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互联网时代高校思想政治课互动教学创新研究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39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满忠训</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华南农业大学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中华传统文化复兴与高校通识教育机制研究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潘越</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广东医科大学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w:t>
            </w:r>
            <w:proofErr w:type="gramStart"/>
            <w:r>
              <w:rPr>
                <w:rFonts w:ascii="仿宋_GB2312" w:eastAsia="仿宋_GB2312" w:hAnsi="宋体" w:cs="宋体" w:hint="eastAsia"/>
                <w:color w:val="000000"/>
                <w:sz w:val="24"/>
              </w:rPr>
              <w:t>优学网平台</w:t>
            </w:r>
            <w:proofErr w:type="gramEnd"/>
            <w:r>
              <w:rPr>
                <w:rFonts w:ascii="仿宋_GB2312" w:eastAsia="仿宋_GB2312" w:hAnsi="宋体" w:cs="宋体" w:hint="eastAsia"/>
                <w:color w:val="000000"/>
                <w:sz w:val="24"/>
              </w:rPr>
              <w:t>的</w:t>
            </w:r>
            <w:proofErr w:type="gramStart"/>
            <w:r>
              <w:rPr>
                <w:rFonts w:ascii="仿宋_GB2312" w:eastAsia="仿宋_GB2312" w:hAnsi="宋体" w:cs="宋体" w:hint="eastAsia"/>
                <w:color w:val="000000"/>
                <w:sz w:val="24"/>
              </w:rPr>
              <w:t>思政课</w:t>
            </w:r>
            <w:proofErr w:type="gramEnd"/>
            <w:r>
              <w:rPr>
                <w:rFonts w:ascii="仿宋_GB2312" w:eastAsia="仿宋_GB2312" w:hAnsi="宋体" w:cs="宋体" w:hint="eastAsia"/>
                <w:color w:val="000000"/>
                <w:sz w:val="24"/>
              </w:rPr>
              <w:t>混合式教学探讨——以《中国近现代史纲要》为例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张国磊</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广东金融学院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广东省企业参与高校职业教育转型机制研究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张成林</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韶关学院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新师范背景下高校教师教育类课程对分课堂教学改革与实践探究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43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刘超男</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广州中医药大学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基于翻转课堂个性化学习理念的中医经典课程教学模式探究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郭旭</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广州中医药大学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混合式教学模式下的外语教育与跨文化交际能力研究——以广东省中医药类院校医药英语专业学生培养为例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尹晓钧</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广东医科大学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临床医学院校协同“3+2”教学模式下培养质量同质化的实践研究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曾岑</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基于创新创业能力提升的口语传播人才培养模式研究——以广东省高校播音与主持艺术专业为例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鲁巧</w:t>
            </w:r>
            <w:proofErr w:type="gramStart"/>
            <w:r>
              <w:rPr>
                <w:rFonts w:ascii="仿宋_GB2312" w:eastAsia="仿宋_GB2312" w:hAnsi="宋体" w:cs="宋体" w:hint="eastAsia"/>
                <w:color w:val="000000"/>
                <w:sz w:val="24"/>
              </w:rPr>
              <w:t>巧</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广东金融学院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面向2035的大湾区高校“指数思维赋能智慧教育”外语学科联合研究与联合教学的新路径研究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蚁</w:t>
            </w:r>
            <w:proofErr w:type="gramStart"/>
            <w:r>
              <w:rPr>
                <w:rFonts w:ascii="仿宋_GB2312" w:eastAsia="仿宋_GB2312" w:hAnsi="宋体" w:cs="宋体" w:hint="eastAsia"/>
                <w:color w:val="000000"/>
                <w:sz w:val="24"/>
              </w:rPr>
              <w:t>淳</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广州中医药大学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从“人文课程”到“课程人文”——生本教育理念下高等中医药院校《多元文化与护理》混合式教学模式的构建与实践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49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王波</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嘉应学院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VR技术在高校足球教学中的应用与实践研究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武文</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广州中医药大学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粤港澳大湾区高等教育合作发展路径研究——以粤港澳高校联合培养医学类人才为例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徐丽玉</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嘉应学院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大数据时代大学生思想政治</w:t>
            </w:r>
            <w:proofErr w:type="gramStart"/>
            <w:r>
              <w:rPr>
                <w:rFonts w:ascii="仿宋_GB2312" w:eastAsia="仿宋_GB2312" w:hAnsi="宋体" w:cs="宋体" w:hint="eastAsia"/>
                <w:color w:val="000000"/>
                <w:sz w:val="24"/>
              </w:rPr>
              <w:t>教育涵化传播</w:t>
            </w:r>
            <w:proofErr w:type="gramEnd"/>
            <w:r>
              <w:rPr>
                <w:rFonts w:ascii="仿宋_GB2312" w:eastAsia="仿宋_GB2312" w:hAnsi="宋体" w:cs="宋体" w:hint="eastAsia"/>
                <w:color w:val="000000"/>
                <w:sz w:val="24"/>
              </w:rPr>
              <w:t>的创新探索</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52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潘文全</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岭南师范学院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新时代大学生思想政治教育工作创新研究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周海立</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北京理工大学珠海学院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新工科背景下《高等数学》课程内容改革与实践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彭平</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大数据背景下应用型本科经济学科教学改革与实践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吴雨芯</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广东白云学院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粤港澳大湾区战略背景下应用型本科院校“新工科”专业建设研究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王千秋</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广东东软学院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以系统能力为导向的“无人机系统开发”课程实践教学模式研究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王艺锦</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吉林大学珠海学院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基于“以赛促学、校企联动”的广告学专业应用创新型人才培养模式研究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任登峰</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吉林大学珠海学院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党团学协同共建</w:t>
            </w:r>
            <w:proofErr w:type="gramStart"/>
            <w:r>
              <w:rPr>
                <w:rFonts w:ascii="仿宋_GB2312" w:eastAsia="仿宋_GB2312" w:hAnsi="宋体" w:cs="宋体" w:hint="eastAsia"/>
                <w:color w:val="000000"/>
                <w:sz w:val="24"/>
              </w:rPr>
              <w:t>思政课实践</w:t>
            </w:r>
            <w:proofErr w:type="gramEnd"/>
            <w:r>
              <w:rPr>
                <w:rFonts w:ascii="仿宋_GB2312" w:eastAsia="仿宋_GB2312" w:hAnsi="宋体" w:cs="宋体" w:hint="eastAsia"/>
                <w:color w:val="000000"/>
                <w:sz w:val="24"/>
              </w:rPr>
              <w:t>教学创新路径研究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rPr>
          <w:trHeight w:val="562"/>
        </w:trPr>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59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邓垲镛</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北京理工大学珠海学院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基于OBE的《虚拟仪器》课程设计与实践</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钟欣</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北京师范大学珠海分校</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“慕课+翻转课堂”教学模式在环境科学与工程专业的实践路线与研究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唐艳秋</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探索创新型专业协会，助力应用型人才培养</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管艺博</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广东工商职业技术大学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“慕课与翻转课堂”混合式教学模式及其实践研究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袁丹</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“慕课与翻转课堂”混合式教学模式及其实践研究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杨榕</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广东工商职业技术大学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职业本科视角下高等职业教育产教融合、校企合作研究——以广东工商职业技术大学为例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65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谢丽仪</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广东工商职业技术大学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老龄化背景下广东省应用型本科院校养老服务与管理产业产学研一体化培养模式创新研究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敬翠华</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广东工商职业技术大学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基于创新创业发展环境下的高校人才培养模式创新研究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吕晓永</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东莞应用型本科院校与地方产业对接路径研究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李东彪</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广东白云学院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基于“慕课+翻转课堂”的休闲体育专业术科课程教学设计与实践探索</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69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文超</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300" w:firstLine="720"/>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融合创新创业教育的专业教育教学改革研究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李燕</w:t>
            </w:r>
            <w:proofErr w:type="gramStart"/>
            <w:r>
              <w:rPr>
                <w:rFonts w:ascii="仿宋_GB2312" w:eastAsia="仿宋_GB2312" w:hAnsi="宋体" w:cs="宋体" w:hint="eastAsia"/>
                <w:color w:val="000000"/>
                <w:sz w:val="24"/>
              </w:rPr>
              <w:t>羚</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广东工商职业技术大学</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跨学科视角下民办高校金融学跨学科课程设计与研究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尚冉</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高校舞蹈理论课程混合式教学中的有效教学行为研究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rPr>
          <w:trHeight w:val="1100"/>
        </w:trPr>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张婷</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“一带一路”国际合作背景下的广东高校工业设计教育国际化研究——以肇庆学院中</w:t>
            </w:r>
            <w:proofErr w:type="gramStart"/>
            <w:r>
              <w:rPr>
                <w:rFonts w:ascii="仿宋_GB2312" w:eastAsia="仿宋_GB2312" w:hAnsi="宋体" w:cs="宋体" w:hint="eastAsia"/>
                <w:color w:val="000000"/>
                <w:sz w:val="24"/>
              </w:rPr>
              <w:t>德设计</w:t>
            </w:r>
            <w:proofErr w:type="gramEnd"/>
            <w:r>
              <w:rPr>
                <w:rFonts w:ascii="仿宋_GB2312" w:eastAsia="仿宋_GB2312" w:hAnsi="宋体" w:cs="宋体" w:hint="eastAsia"/>
                <w:color w:val="000000"/>
                <w:sz w:val="24"/>
              </w:rPr>
              <w:t>学院为例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rPr>
          <w:trHeight w:val="90"/>
        </w:trPr>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祁雁凌</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200" w:firstLine="480"/>
              <w:rPr>
                <w:rFonts w:ascii="仿宋_GB2312" w:eastAsia="仿宋_GB2312" w:hAnsi="宋体" w:cs="宋体"/>
                <w:color w:val="000000"/>
                <w:sz w:val="24"/>
              </w:rPr>
            </w:pPr>
            <w:r>
              <w:rPr>
                <w:rFonts w:ascii="仿宋_GB2312" w:eastAsia="仿宋_GB2312" w:hAnsi="宋体" w:cs="宋体" w:hint="eastAsia"/>
                <w:color w:val="000000"/>
                <w:sz w:val="24"/>
              </w:rPr>
              <w:t>广东科技学院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基于冷链物流的广东高校产业学院育人模式研究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林润燕</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“慕课与翻转课堂”混合式教学模式及其实践研究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阳秀红</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肇庆学院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互联网背景下高师舞蹈专业理论课程教学方法探索与实践——以肇庆学院《舞蹈美学》课程为例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lastRenderedPageBreak/>
              <w:t>76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代静</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广东石油化工学院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基于行为事件访谈（BEI)的高校青年工科教师教学胜任</w:t>
            </w:r>
            <w:proofErr w:type="gramStart"/>
            <w:r>
              <w:rPr>
                <w:rFonts w:ascii="仿宋_GB2312" w:eastAsia="仿宋_GB2312" w:hAnsi="宋体" w:cs="宋体" w:hint="eastAsia"/>
                <w:color w:val="000000"/>
                <w:sz w:val="24"/>
              </w:rPr>
              <w:t>力研究</w:t>
            </w:r>
            <w:proofErr w:type="gramEnd"/>
            <w:r>
              <w:rPr>
                <w:rFonts w:ascii="仿宋_GB2312" w:eastAsia="仿宋_GB2312" w:hAnsi="宋体" w:cs="宋体" w:hint="eastAsia"/>
                <w:color w:val="000000"/>
                <w:sz w:val="24"/>
              </w:rPr>
              <w:t>——以广东石油化工学院为例</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许栋</w:t>
            </w:r>
            <w:proofErr w:type="gramStart"/>
            <w:r>
              <w:rPr>
                <w:rFonts w:ascii="宋体" w:hAnsi="宋体" w:cs="宋体" w:hint="eastAsia"/>
                <w:color w:val="000000"/>
                <w:sz w:val="24"/>
              </w:rPr>
              <w:t>樑</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北京师范大学珠海分校</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基于传统文化相融合的设计类课程教学实践研究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王毓</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北京理工大学珠海分校</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广东高校航空类专业青年教师专业化发展研究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79</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郑秋强</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北京师范大学珠海分校</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广东省青年教师工作压力、工作倦怠现状与干预策略研究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80</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严艳荣</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广东海洋大学寸金学院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基于网络计量的民办高校门户网站网路影响力研究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81</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张楚</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广东海洋大学寸金学院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智能财务背景下会计信息化课程教学改革与应用研究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82</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李萌</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广东海洋大学寸金学院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“一带一路”国际合作背景下的高校培养跨文化日语人才研究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83</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熊岑</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广东石油化工学院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“慕课与翻转课堂”混合教学模式在《食品化工》教学实践中的应用研究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84</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余育礼</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吉林大学珠海学院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基于“互联网+”新商科目的实</w:t>
            </w:r>
            <w:proofErr w:type="gramStart"/>
            <w:r>
              <w:rPr>
                <w:rFonts w:ascii="仿宋_GB2312" w:eastAsia="仿宋_GB2312" w:hAnsi="宋体" w:cs="宋体" w:hint="eastAsia"/>
                <w:color w:val="000000"/>
                <w:sz w:val="24"/>
              </w:rPr>
              <w:t>训教学模式</w:t>
            </w:r>
            <w:proofErr w:type="gramEnd"/>
            <w:r>
              <w:rPr>
                <w:rFonts w:ascii="仿宋_GB2312" w:eastAsia="仿宋_GB2312" w:hAnsi="宋体" w:cs="宋体" w:hint="eastAsia"/>
                <w:color w:val="000000"/>
                <w:sz w:val="24"/>
              </w:rPr>
              <w:t>创新研究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85</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万玲</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广东海洋大学寸金学院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基于BTM的工程管理专业跨学科课程设计与组织</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86</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proofErr w:type="gramStart"/>
            <w:r>
              <w:rPr>
                <w:rFonts w:ascii="仿宋_GB2312" w:eastAsia="仿宋_GB2312" w:hAnsi="宋体" w:cs="宋体" w:hint="eastAsia"/>
                <w:color w:val="000000"/>
                <w:sz w:val="24"/>
              </w:rPr>
              <w:t>周乔</w:t>
            </w:r>
            <w:proofErr w:type="gramEnd"/>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广东海洋大学寸金学院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POA理论在应用型高校高级日语课程教学改革探索与应用</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87</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李春</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北京理工大学珠海学院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新工科背景下机械类专业教育教学改革发展研究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r w:rsidR="00E23763" w:rsidTr="00E23763">
        <w:tc>
          <w:tcPr>
            <w:tcW w:w="840"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ind w:firstLineChars="100" w:firstLine="240"/>
              <w:rPr>
                <w:rFonts w:ascii="仿宋_GB2312" w:eastAsia="仿宋_GB2312" w:hAnsi="宋体" w:cs="宋体"/>
                <w:color w:val="000000"/>
                <w:sz w:val="24"/>
              </w:rPr>
            </w:pPr>
            <w:r>
              <w:rPr>
                <w:rFonts w:ascii="仿宋_GB2312" w:eastAsia="仿宋_GB2312" w:hAnsi="宋体" w:cs="宋体" w:hint="eastAsia"/>
                <w:color w:val="000000"/>
                <w:sz w:val="24"/>
              </w:rPr>
              <w:t>88</w:t>
            </w:r>
          </w:p>
        </w:tc>
        <w:tc>
          <w:tcPr>
            <w:tcW w:w="998"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张雁</w:t>
            </w:r>
          </w:p>
        </w:tc>
        <w:tc>
          <w:tcPr>
            <w:tcW w:w="2831"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北京理工大学珠海学院</w:t>
            </w:r>
          </w:p>
        </w:tc>
        <w:tc>
          <w:tcPr>
            <w:tcW w:w="8024"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rPr>
                <w:rFonts w:ascii="仿宋_GB2312" w:eastAsia="仿宋_GB2312" w:hAnsi="宋体" w:cs="宋体"/>
                <w:color w:val="000000"/>
                <w:sz w:val="24"/>
              </w:rPr>
            </w:pPr>
            <w:r>
              <w:rPr>
                <w:rFonts w:ascii="仿宋_GB2312" w:eastAsia="仿宋_GB2312" w:hAnsi="宋体" w:cs="宋体" w:hint="eastAsia"/>
                <w:color w:val="000000"/>
                <w:sz w:val="24"/>
              </w:rPr>
              <w:t>粤港澳大湾</w:t>
            </w:r>
            <w:proofErr w:type="gramStart"/>
            <w:r>
              <w:rPr>
                <w:rFonts w:ascii="仿宋_GB2312" w:eastAsia="仿宋_GB2312" w:hAnsi="宋体" w:cs="宋体" w:hint="eastAsia"/>
                <w:color w:val="000000"/>
                <w:sz w:val="24"/>
              </w:rPr>
              <w:t>区背景</w:t>
            </w:r>
            <w:proofErr w:type="gramEnd"/>
            <w:r>
              <w:rPr>
                <w:rFonts w:ascii="仿宋_GB2312" w:eastAsia="仿宋_GB2312" w:hAnsi="宋体" w:cs="宋体" w:hint="eastAsia"/>
                <w:color w:val="000000"/>
                <w:sz w:val="24"/>
              </w:rPr>
              <w:t>下会计学专业教学设计与课程组织研究</w:t>
            </w:r>
          </w:p>
        </w:tc>
        <w:tc>
          <w:tcPr>
            <w:tcW w:w="1287" w:type="dxa"/>
            <w:tcBorders>
              <w:top w:val="single" w:sz="4" w:space="0" w:color="auto"/>
              <w:left w:val="single" w:sz="4" w:space="0" w:color="auto"/>
              <w:bottom w:val="single" w:sz="4" w:space="0" w:color="auto"/>
              <w:right w:val="single" w:sz="4" w:space="0" w:color="auto"/>
            </w:tcBorders>
            <w:hideMark/>
          </w:tcPr>
          <w:p w:rsidR="00E23763" w:rsidRDefault="00E23763">
            <w:pPr>
              <w:spacing w:line="5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一般</w:t>
            </w:r>
          </w:p>
        </w:tc>
      </w:tr>
    </w:tbl>
    <w:p w:rsidR="00F66094" w:rsidRDefault="00F66094">
      <w:pPr>
        <w:rPr>
          <w:rFonts w:hint="eastAsia"/>
        </w:rPr>
      </w:pPr>
      <w:bookmarkStart w:id="0" w:name="_GoBack"/>
      <w:bookmarkEnd w:id="0"/>
    </w:p>
    <w:sectPr w:rsidR="00F66094" w:rsidSect="00E2376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A4"/>
    <w:rsid w:val="00B96FA4"/>
    <w:rsid w:val="00E23763"/>
    <w:rsid w:val="00F6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37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37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msfh</dc:creator>
  <cp:keywords/>
  <dc:description/>
  <cp:lastModifiedBy>msfh</cp:lastModifiedBy>
  <cp:revision>2</cp:revision>
  <dcterms:created xsi:type="dcterms:W3CDTF">2019-08-29T02:55:00Z</dcterms:created>
  <dcterms:modified xsi:type="dcterms:W3CDTF">2019-08-29T02:56:00Z</dcterms:modified>
</cp:coreProperties>
</file>